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仿宋_GB2312" w:hAnsi="仿宋_GB2312" w:eastAsia="仿宋_GB2312" w:cs="仿宋_GB2312"/>
          <w:color w:val="333333"/>
          <w:sz w:val="32"/>
          <w:szCs w:val="32"/>
          <w:shd w:val="clear" w:color="auto" w:fill="FFFFFF"/>
        </w:rPr>
      </w:pPr>
      <w:r>
        <w:rPr>
          <w:rFonts w:eastAsia="方正小标宋简体"/>
          <w:color w:val="FF0000"/>
          <w:sz w:val="20"/>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701040</wp:posOffset>
                </wp:positionV>
                <wp:extent cx="61918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9188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55.2pt;height:0pt;width:487.55pt;z-index:251658240;mso-width-relative:page;mso-height-relative:page;" filled="f" stroked="t" coordsize="21600,21600" o:gfxdata="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Jfwt2AAAAAsBAAAP&#10;AAAAAAAAAAEAIAAAACIAAABkcnMvZG93bnJldi54bWxQSwECFAAUAAAACACHTuJAMe8t098BAACX&#10;AwAADgAAAAAAAAABACAAAAAnAQAAZHJzL2Uyb0RvYy54bWxQSwUGAAAAAAYABgBZAQAAeAUAAAAA&#10;">
                <v:fill on="f" focussize="0,0"/>
                <v:stroke weight="2pt" color="#FF0000" joinstyle="round"/>
                <v:imagedata o:title=""/>
                <o:lock v:ext="edit" aspectratio="f"/>
              </v:line>
            </w:pict>
          </mc:Fallback>
        </mc:AlternateContent>
      </w:r>
      <w:r>
        <w:rPr>
          <w:rFonts w:ascii="新宋体" w:hAnsi="新宋体" w:eastAsia="新宋体"/>
          <w:b/>
          <w:sz w:val="44"/>
          <w:szCs w:val="44"/>
        </w:rPr>
        <mc:AlternateContent>
          <mc:Choice Requires="wps">
            <w:drawing>
              <wp:anchor distT="0" distB="0" distL="114300" distR="114300" simplePos="0" relativeHeight="251662336" behindDoc="0" locked="0" layoutInCell="1" allowOverlap="1">
                <wp:simplePos x="0" y="0"/>
                <wp:positionH relativeFrom="column">
                  <wp:posOffset>848995</wp:posOffset>
                </wp:positionH>
                <wp:positionV relativeFrom="paragraph">
                  <wp:posOffset>9697720</wp:posOffset>
                </wp:positionV>
                <wp:extent cx="5829300" cy="0"/>
                <wp:effectExtent l="0" t="19050" r="0" b="19050"/>
                <wp:wrapNone/>
                <wp:docPr id="4" name="直接箭头连接符 4"/>
                <wp:cNvGraphicFramePr/>
                <a:graphic xmlns:a="http://schemas.openxmlformats.org/drawingml/2006/main">
                  <a:graphicData uri="http://schemas.microsoft.com/office/word/2010/wordprocessingShape">
                    <wps:wsp>
                      <wps:cNvCnPr/>
                      <wps:spPr>
                        <a:xfrm>
                          <a:off x="861695" y="9638665"/>
                          <a:ext cx="5829300"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6.85pt;margin-top:763.6pt;height:0pt;width:459pt;z-index:251662336;mso-width-relative:page;mso-height-relative:page;" filled="f" stroked="t" coordsize="21600,21600" o:gfxdata="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cdIu2QAAAA4BAAAPAAAAAAAAAAEAIAAAACIAAABkcnMvZG93bnJldi54&#10;bWxQSwECFAAUAAAACACHTuJAz+FTD/kBAAC4AwAADgAAAAAAAAABACAAAAAoAQAAZHJzL2Uyb0Rv&#10;Yy54bWxQSwUGAAAAAAYABgBZAQAAkwUAAAAA&#10;">
                <v:fill on="f" focussize="0,0"/>
                <v:stroke weight="3pt" color="#FF0000" joinstyle="round"/>
                <v:imagedata o:title=""/>
                <o:lock v:ext="edit" aspectratio="f"/>
              </v:shape>
            </w:pict>
          </mc:Fallback>
        </mc:AlternateContent>
      </w:r>
      <w:r>
        <w:rPr>
          <w:rFonts w:ascii="新宋体" w:hAnsi="新宋体" w:eastAsia="新宋体"/>
          <w:b/>
          <w:sz w:val="44"/>
          <w:szCs w:val="44"/>
        </w:rPr>
        <mc:AlternateContent>
          <mc:Choice Requires="wps">
            <w:drawing>
              <wp:anchor distT="0" distB="0" distL="114300" distR="114300" simplePos="0" relativeHeight="251663360" behindDoc="0" locked="0" layoutInCell="1" allowOverlap="1">
                <wp:simplePos x="0" y="0"/>
                <wp:positionH relativeFrom="column">
                  <wp:posOffset>848995</wp:posOffset>
                </wp:positionH>
                <wp:positionV relativeFrom="paragraph">
                  <wp:posOffset>9652000</wp:posOffset>
                </wp:positionV>
                <wp:extent cx="5829300" cy="0"/>
                <wp:effectExtent l="0" t="0" r="0" b="0"/>
                <wp:wrapNone/>
                <wp:docPr id="5" name="直接连接符 5"/>
                <wp:cNvGraphicFramePr/>
                <a:graphic xmlns:a="http://schemas.openxmlformats.org/drawingml/2006/main">
                  <a:graphicData uri="http://schemas.microsoft.com/office/word/2010/wordprocessingShape">
                    <wps:wsp>
                      <wps:cNvCnPr/>
                      <wps:spPr>
                        <a:xfrm>
                          <a:off x="861695" y="9592945"/>
                          <a:ext cx="582930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6.85pt;margin-top:760pt;height:0pt;width:459pt;z-index:251663360;mso-width-relative:page;mso-height-relative:page;" filled="f" stroked="t" coordsize="21600,21600" o:gfxdata="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xNL/1gAA&#10;AA4BAAAPAAAAAAAAAAEAIAAAACIAAABkcnMvZG93bnJldi54bWxQSwECFAAUAAAACACHTuJAma2F&#10;1ecBAACkAwAADgAAAAAAAAABACAAAAAlAQAAZHJzL2Uyb0RvYy54bWxQSwUGAAAAAAYABgBZAQAA&#10;fgUAAAAA&#10;">
                <v:fill on="f" focussize="0,0"/>
                <v:stroke weight="1.75pt" color="#FF0000" joinstyle="round"/>
                <v:imagedata o:title=""/>
                <o:lock v:ext="edit" aspectratio="f"/>
              </v:line>
            </w:pict>
          </mc:Fallback>
        </mc:AlternateContent>
      </w:r>
      <w:r>
        <w:rPr>
          <w:rFonts w:eastAsia="方正小标宋简体"/>
          <w:color w:val="FF0000"/>
          <w:sz w:val="18"/>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769620</wp:posOffset>
                </wp:positionV>
                <wp:extent cx="61918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9188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60.6pt;height:0pt;width:487.55pt;z-index:251659264;mso-width-relative:page;mso-height-relative:page;" filled="f" stroked="t" coordsize="21600,21600" o:gfxdata="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7ITuvXAAAACwEAAA8AAAAA&#10;AAAAAQAgAAAAIgAAAGRycy9kb3ducmV2LnhtbFBLAQIUABQAAAAIAIdO4kCyMjSA3AEAAJYDAAAO&#10;AAAAAAAAAAEAIAAAACYBAABkcnMvZTJvRG9jLnhtbFBLBQYAAAAABgAGAFkBAAB0BQAAAAA=&#10;">
                <v:fill on="f" focussize="0,0"/>
                <v:stroke color="#FF0000" joinstyle="round"/>
                <v:imagedata o:title=""/>
                <o:lock v:ext="edit" aspectratio="f"/>
              </v:line>
            </w:pict>
          </mc:Fallback>
        </mc:AlternateContent>
      </w:r>
      <w:r>
        <w:rPr>
          <w:rFonts w:ascii="新宋体" w:hAnsi="新宋体" w:eastAsia="新宋体"/>
          <w:b/>
          <w:sz w:val="44"/>
          <w:szCs w:val="44"/>
        </w:rPr>
        <mc:AlternateContent>
          <mc:Choice Requires="wps">
            <w:drawing>
              <wp:anchor distT="0" distB="0" distL="114300" distR="114300" simplePos="0" relativeHeight="251666432" behindDoc="0" locked="0" layoutInCell="1" allowOverlap="1">
                <wp:simplePos x="0" y="0"/>
                <wp:positionH relativeFrom="column">
                  <wp:posOffset>848995</wp:posOffset>
                </wp:positionH>
                <wp:positionV relativeFrom="paragraph">
                  <wp:posOffset>9710420</wp:posOffset>
                </wp:positionV>
                <wp:extent cx="5829300" cy="0"/>
                <wp:effectExtent l="0" t="19050" r="0" b="19050"/>
                <wp:wrapNone/>
                <wp:docPr id="6" name="直接箭头连接符 6"/>
                <wp:cNvGraphicFramePr/>
                <a:graphic xmlns:a="http://schemas.openxmlformats.org/drawingml/2006/main">
                  <a:graphicData uri="http://schemas.microsoft.com/office/word/2010/wordprocessingShape">
                    <wps:wsp>
                      <wps:cNvCnPr/>
                      <wps:spPr>
                        <a:xfrm>
                          <a:off x="861695" y="9638665"/>
                          <a:ext cx="5829300"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6.85pt;margin-top:764.6pt;height:0pt;width:459pt;z-index:251666432;mso-width-relative:page;mso-height-relative:page;" filled="f" stroked="t" coordsize="21600,21600" o:gfxdata="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naIBjZAAAADgEAAA8AAAAAAAAAAQAgAAAAIgAAAGRycy9kb3ducmV2Lnht&#10;bFBLAQIUABQAAAAIAIdO4kDFDHzP+AEAALgDAAAOAAAAAAAAAAEAIAAAACgBAABkcnMvZTJvRG9j&#10;LnhtbFBLBQYAAAAABgAGAFkBAACSBQAAAAA=&#10;">
                <v:fill on="f" focussize="0,0"/>
                <v:stroke weight="3pt" color="#FF0000" joinstyle="round"/>
                <v:imagedata o:title=""/>
                <o:lock v:ext="edit" aspectratio="f"/>
              </v:shape>
            </w:pict>
          </mc:Fallback>
        </mc:AlternateContent>
      </w:r>
      <w:r>
        <w:rPr>
          <w:rFonts w:ascii="新宋体" w:hAnsi="新宋体" w:eastAsia="新宋体"/>
          <w:b/>
          <w:sz w:val="44"/>
          <w:szCs w:val="44"/>
        </w:rPr>
        <mc:AlternateContent>
          <mc:Choice Requires="wps">
            <w:drawing>
              <wp:anchor distT="0" distB="0" distL="114300" distR="114300" simplePos="0" relativeHeight="251670528" behindDoc="0" locked="0" layoutInCell="1" allowOverlap="1">
                <wp:simplePos x="0" y="0"/>
                <wp:positionH relativeFrom="column">
                  <wp:posOffset>1001395</wp:posOffset>
                </wp:positionH>
                <wp:positionV relativeFrom="paragraph">
                  <wp:posOffset>9862820</wp:posOffset>
                </wp:positionV>
                <wp:extent cx="5829300" cy="0"/>
                <wp:effectExtent l="0" t="19050" r="0" b="19050"/>
                <wp:wrapNone/>
                <wp:docPr id="9" name="直接箭头连接符 9"/>
                <wp:cNvGraphicFramePr/>
                <a:graphic xmlns:a="http://schemas.openxmlformats.org/drawingml/2006/main">
                  <a:graphicData uri="http://schemas.microsoft.com/office/word/2010/wordprocessingShape">
                    <wps:wsp>
                      <wps:cNvCnPr/>
                      <wps:spPr>
                        <a:xfrm>
                          <a:off x="861695" y="9638665"/>
                          <a:ext cx="5829300"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8.85pt;margin-top:776.6pt;height:0pt;width:459pt;z-index:251670528;mso-width-relative:page;mso-height-relative:page;" filled="f" stroked="t" coordsize="21600,21600" o:gfxdata="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e1omzZAAAADgEAAA8AAAAAAAAAAQAgAAAAIgAAAGRycy9kb3ducmV2Lnht&#10;bFBLAQIUABQAAAAIAIdO4kC1czeC+AEAALgDAAAOAAAAAAAAAAEAIAAAACgBAABkcnMvZTJvRG9j&#10;LnhtbFBLBQYAAAAABgAGAFkBAACSBQAAAAA=&#10;">
                <v:fill on="f" focussize="0,0"/>
                <v:stroke weight="3pt" color="#FF0000" joinstyle="round"/>
                <v:imagedata o:title=""/>
                <o:lock v:ext="edit" aspectratio="f"/>
              </v:shape>
            </w:pict>
          </mc:Fallback>
        </mc:AlternateContent>
      </w:r>
      <w:r>
        <w:rPr>
          <w:rFonts w:ascii="新宋体" w:hAnsi="新宋体" w:eastAsia="新宋体"/>
          <w:b/>
          <w:sz w:val="44"/>
          <w:szCs w:val="44"/>
        </w:rPr>
        <mc:AlternateContent>
          <mc:Choice Requires="wps">
            <w:drawing>
              <wp:anchor distT="0" distB="0" distL="114300" distR="114300" simplePos="0" relativeHeight="251671552" behindDoc="0" locked="0" layoutInCell="1" allowOverlap="1">
                <wp:simplePos x="0" y="0"/>
                <wp:positionH relativeFrom="column">
                  <wp:posOffset>1001395</wp:posOffset>
                </wp:positionH>
                <wp:positionV relativeFrom="paragraph">
                  <wp:posOffset>9817100</wp:posOffset>
                </wp:positionV>
                <wp:extent cx="5829300" cy="0"/>
                <wp:effectExtent l="0" t="0" r="0" b="0"/>
                <wp:wrapNone/>
                <wp:docPr id="8" name="直接连接符 8"/>
                <wp:cNvGraphicFramePr/>
                <a:graphic xmlns:a="http://schemas.openxmlformats.org/drawingml/2006/main">
                  <a:graphicData uri="http://schemas.microsoft.com/office/word/2010/wordprocessingShape">
                    <wps:wsp>
                      <wps:cNvCnPr/>
                      <wps:spPr>
                        <a:xfrm>
                          <a:off x="861695" y="9592945"/>
                          <a:ext cx="582930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8.85pt;margin-top:773pt;height:0pt;width:459pt;z-index:251671552;mso-width-relative:page;mso-height-relative:page;" filled="f" stroked="t" coordsize="21600,21600" o:gfxdata="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lHWYXWAAAA&#10;DgEAAA8AAAAAAAAAAQAgAAAAIgAAAGRycy9kb3ducmV2LnhtbFBLAQIUABQAAAAIAIdO4kD29weE&#10;5gEAAKQDAAAOAAAAAAAAAAEAIAAAACUBAABkcnMvZTJvRG9jLnhtbFBLBQYAAAAABgAGAFkBAAB9&#10;BQAAAAA=&#10;">
                <v:fill on="f" focussize="0,0"/>
                <v:stroke weight="1.75pt" color="#FF0000" joinstyle="round"/>
                <v:imagedata o:title=""/>
                <o:lock v:ext="edit" aspectratio="f"/>
              </v:line>
            </w:pict>
          </mc:Fallback>
        </mc:AlternateContent>
      </w:r>
      <w:r>
        <w:rPr>
          <w:rFonts w:ascii="新宋体" w:hAnsi="新宋体" w:eastAsia="新宋体"/>
          <w:b/>
          <w:sz w:val="44"/>
          <w:szCs w:val="44"/>
        </w:rPr>
        <mc:AlternateContent>
          <mc:Choice Requires="wps">
            <w:drawing>
              <wp:anchor distT="0" distB="0" distL="114300" distR="114300" simplePos="0" relativeHeight="251667456" behindDoc="0" locked="0" layoutInCell="1" allowOverlap="1">
                <wp:simplePos x="0" y="0"/>
                <wp:positionH relativeFrom="column">
                  <wp:posOffset>848995</wp:posOffset>
                </wp:positionH>
                <wp:positionV relativeFrom="paragraph">
                  <wp:posOffset>9664700</wp:posOffset>
                </wp:positionV>
                <wp:extent cx="5829300" cy="0"/>
                <wp:effectExtent l="0" t="0" r="0" b="0"/>
                <wp:wrapNone/>
                <wp:docPr id="7" name="直接连接符 7"/>
                <wp:cNvGraphicFramePr/>
                <a:graphic xmlns:a="http://schemas.openxmlformats.org/drawingml/2006/main">
                  <a:graphicData uri="http://schemas.microsoft.com/office/word/2010/wordprocessingShape">
                    <wps:wsp>
                      <wps:cNvCnPr/>
                      <wps:spPr>
                        <a:xfrm>
                          <a:off x="861695" y="9592945"/>
                          <a:ext cx="582930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6.85pt;margin-top:761pt;height:0pt;width:459pt;z-index:251667456;mso-width-relative:page;mso-height-relative:page;" filled="f" stroked="t" coordsize="21600,21600" o:gfxdata="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kOSw&#10;1wAAAA4BAAAPAAAAAAAAAAEAIAAAACIAAABkcnMvZG93bnJldi54bWxQSwECFAAUAAAACACHTuJA&#10;hsLSS+kBAACkAwAADgAAAAAAAAABACAAAAAmAQAAZHJzL2Uyb0RvYy54bWxQSwUGAAAAAAYABgBZ&#10;AQAAgQUAAAAA&#10;">
                <v:fill on="f" focussize="0,0"/>
                <v:stroke weight="1.75pt" color="#FF0000" joinstyle="round"/>
                <v:imagedata o:title=""/>
                <o:lock v:ext="edit" aspectratio="f"/>
              </v:line>
            </w:pict>
          </mc:Fallback>
        </mc:AlternateContent>
      </w:r>
      <w:r>
        <w:rPr>
          <w:rFonts w:hint="eastAsia" w:eastAsia="方正小标宋简体"/>
          <w:color w:val="FF0000"/>
          <w:sz w:val="68"/>
        </w:rPr>
        <w:t>烟台市应急管理局</w:t>
      </w:r>
      <w:r>
        <w:rPr>
          <w:rFonts w:ascii="方正小标宋简体" w:eastAsia="方正小标宋简体"/>
          <w:sz w:val="44"/>
          <w:szCs w:val="44"/>
        </w:rPr>
        <w:t xml:space="preserve">              </w:t>
      </w:r>
      <w:r>
        <w:rPr>
          <w:rFonts w:hint="eastAsia" w:ascii="方正小标宋简体" w:eastAsia="方正小标宋简体"/>
          <w:sz w:val="44"/>
          <w:szCs w:val="44"/>
          <w:lang w:val="en-US" w:eastAsia="zh-CN"/>
        </w:rPr>
        <w:t xml:space="preserve">  </w:t>
      </w:r>
    </w:p>
    <w:tbl>
      <w:tblPr>
        <w:tblStyle w:val="10"/>
        <w:tblW w:w="9060" w:type="dxa"/>
        <w:tblInd w:w="0" w:type="dxa"/>
        <w:tblLayout w:type="fixed"/>
        <w:tblCellMar>
          <w:top w:w="0" w:type="dxa"/>
          <w:left w:w="108" w:type="dxa"/>
          <w:bottom w:w="0" w:type="dxa"/>
          <w:right w:w="108" w:type="dxa"/>
        </w:tblCellMar>
      </w:tblPr>
      <w:tblGrid>
        <w:gridCol w:w="3783"/>
        <w:gridCol w:w="5277"/>
      </w:tblGrid>
      <w:tr>
        <w:tblPrEx>
          <w:tblLayout w:type="fixed"/>
        </w:tblPrEx>
        <w:tc>
          <w:tcPr>
            <w:tcW w:w="3783" w:type="dxa"/>
            <w:vAlign w:val="center"/>
          </w:tcPr>
          <w:p>
            <w:pPr>
              <w:snapToGrid w:val="0"/>
              <w:spacing w:line="560" w:lineRule="atLeast"/>
              <w:jc w:val="left"/>
              <w:rPr>
                <w:rFonts w:ascii="黑体" w:eastAsia="黑体"/>
                <w:sz w:val="32"/>
              </w:rPr>
            </w:pPr>
          </w:p>
        </w:tc>
        <w:tc>
          <w:tcPr>
            <w:tcW w:w="5277" w:type="dxa"/>
            <w:vAlign w:val="center"/>
          </w:tcPr>
          <w:p>
            <w:pPr>
              <w:wordWrap w:val="0"/>
              <w:snapToGrid w:val="0"/>
              <w:spacing w:line="560" w:lineRule="atLeast"/>
              <w:jc w:val="right"/>
              <w:rPr>
                <w:rFonts w:eastAsia="仿宋_GB2312"/>
                <w:sz w:val="32"/>
              </w:rPr>
            </w:pPr>
          </w:p>
        </w:tc>
      </w:tr>
      <w:tr>
        <w:tblPrEx>
          <w:tblLayout w:type="fixed"/>
          <w:tblCellMar>
            <w:top w:w="0" w:type="dxa"/>
            <w:left w:w="108" w:type="dxa"/>
            <w:bottom w:w="0" w:type="dxa"/>
            <w:right w:w="108" w:type="dxa"/>
          </w:tblCellMar>
        </w:tblPrEx>
        <w:tc>
          <w:tcPr>
            <w:tcW w:w="3783" w:type="dxa"/>
            <w:vAlign w:val="center"/>
          </w:tcPr>
          <w:p>
            <w:pPr>
              <w:snapToGrid w:val="0"/>
              <w:spacing w:line="560" w:lineRule="atLeast"/>
              <w:jc w:val="left"/>
              <w:rPr>
                <w:rFonts w:hint="eastAsia" w:ascii="黑体" w:eastAsia="黑体"/>
                <w:sz w:val="32"/>
              </w:rPr>
            </w:pPr>
          </w:p>
        </w:tc>
        <w:tc>
          <w:tcPr>
            <w:tcW w:w="5277" w:type="dxa"/>
            <w:vAlign w:val="center"/>
          </w:tcPr>
          <w:p>
            <w:pPr>
              <w:snapToGrid w:val="0"/>
              <w:spacing w:line="560" w:lineRule="atLeast"/>
              <w:jc w:val="right"/>
              <w:rPr>
                <w:rFonts w:eastAsia="仿宋_GB2312"/>
                <w:sz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关于公布</w:t>
      </w:r>
      <w:r>
        <w:rPr>
          <w:rFonts w:hint="eastAsia" w:ascii="方正小标宋简体" w:hAnsi="华文中宋" w:eastAsia="方正小标宋简体"/>
          <w:color w:val="000000"/>
          <w:sz w:val="44"/>
          <w:szCs w:val="44"/>
          <w:lang w:eastAsia="zh-CN"/>
        </w:rPr>
        <w:t>烟台市</w:t>
      </w:r>
      <w:r>
        <w:rPr>
          <w:rFonts w:hint="eastAsia" w:ascii="方正小标宋简体" w:hAnsi="华文中宋" w:eastAsia="方正小标宋简体"/>
          <w:color w:val="000000"/>
          <w:sz w:val="44"/>
          <w:szCs w:val="44"/>
        </w:rPr>
        <w:t>危险化学品</w:t>
      </w:r>
      <w:r>
        <w:rPr>
          <w:rFonts w:hint="eastAsia" w:ascii="方正小标宋简体" w:hAnsi="华文中宋" w:eastAsia="方正小标宋简体"/>
          <w:color w:val="000000"/>
          <w:sz w:val="44"/>
          <w:szCs w:val="44"/>
          <w:lang w:eastAsia="zh-CN"/>
        </w:rPr>
        <w:t>从业单位</w:t>
      </w:r>
      <w:r>
        <w:rPr>
          <w:rFonts w:hint="eastAsia" w:ascii="方正小标宋简体" w:hAnsi="华文中宋" w:eastAsia="方正小标宋简体"/>
          <w:color w:val="000000"/>
          <w:sz w:val="44"/>
          <w:szCs w:val="44"/>
        </w:rPr>
        <w:t>安全生产标准化三级企业名单（第</w:t>
      </w:r>
      <w:r>
        <w:rPr>
          <w:rFonts w:hint="eastAsia" w:ascii="方正小标宋简体" w:hAnsi="华文中宋" w:eastAsia="方正小标宋简体"/>
          <w:color w:val="000000"/>
          <w:sz w:val="44"/>
          <w:szCs w:val="44"/>
          <w:lang w:eastAsia="zh-CN"/>
        </w:rPr>
        <w:t>四十五</w:t>
      </w:r>
      <w:r>
        <w:rPr>
          <w:rFonts w:hint="eastAsia" w:ascii="方正小标宋简体" w:hAnsi="华文中宋" w:eastAsia="方正小标宋简体"/>
          <w:color w:val="000000"/>
          <w:sz w:val="44"/>
          <w:szCs w:val="44"/>
        </w:rPr>
        <w:t>批）的通知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color w:val="000000"/>
          <w:szCs w:val="32"/>
        </w:rPr>
      </w:pP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各县市区</w:t>
      </w:r>
      <w:r>
        <w:rPr>
          <w:rFonts w:hint="default" w:ascii="Times New Roman" w:hAnsi="Times New Roman" w:eastAsia="仿宋_GB2312" w:cs="Times New Roman"/>
          <w:color w:val="000000"/>
          <w:sz w:val="32"/>
          <w:szCs w:val="32"/>
          <w:lang w:eastAsia="zh-CN"/>
        </w:rPr>
        <w:t>应急局</w:t>
      </w:r>
      <w:r>
        <w:rPr>
          <w:rFonts w:hint="default"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eastAsia="zh-CN"/>
        </w:rPr>
        <w:t>有</w:t>
      </w:r>
      <w:r>
        <w:rPr>
          <w:rFonts w:hint="default" w:ascii="Times New Roman" w:hAnsi="Times New Roman" w:eastAsia="仿宋_GB2312" w:cs="Times New Roman"/>
          <w:color w:val="000000"/>
          <w:sz w:val="32"/>
          <w:szCs w:val="32"/>
        </w:rPr>
        <w:t>关企业</w:t>
      </w:r>
      <w:r>
        <w:rPr>
          <w:rFonts w:hint="eastAsia" w:ascii="Times New Roman"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有关安全标准化咨询、评审单位</w:t>
      </w:r>
      <w:r>
        <w:rPr>
          <w:rFonts w:hint="default" w:ascii="Times New Roman" w:hAnsi="Times New Roman" w:eastAsia="仿宋_GB2312" w:cs="Times New Roman"/>
          <w:color w:val="000000"/>
          <w:sz w:val="32"/>
          <w:szCs w:val="32"/>
        </w:rPr>
        <w:t>：</w:t>
      </w: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color w:val="000000"/>
          <w:sz w:val="32"/>
          <w:szCs w:val="32"/>
          <w:lang w:eastAsia="zh-CN"/>
        </w:rPr>
        <w:t>原</w:t>
      </w:r>
      <w:r>
        <w:rPr>
          <w:rFonts w:hint="default" w:ascii="Times New Roman" w:hAnsi="Times New Roman" w:eastAsia="仿宋_GB2312" w:cs="Times New Roman"/>
          <w:color w:val="000000"/>
          <w:sz w:val="32"/>
          <w:szCs w:val="32"/>
        </w:rPr>
        <w:t>国家</w:t>
      </w:r>
      <w:r>
        <w:rPr>
          <w:rFonts w:hint="default" w:ascii="Times New Roman" w:hAnsi="Times New Roman" w:eastAsia="仿宋_GB2312" w:cs="Times New Roman"/>
          <w:color w:val="000000"/>
          <w:sz w:val="32"/>
          <w:szCs w:val="32"/>
          <w:lang w:eastAsia="zh-CN"/>
        </w:rPr>
        <w:t>安监总局</w:t>
      </w:r>
      <w:r>
        <w:rPr>
          <w:rFonts w:hint="default" w:ascii="Times New Roman" w:hAnsi="Times New Roman" w:eastAsia="仿宋_GB2312" w:cs="Times New Roman"/>
          <w:color w:val="000000"/>
          <w:sz w:val="32"/>
          <w:szCs w:val="32"/>
        </w:rPr>
        <w:t>印发的《危险化学品从业单位安全生产标准化评审标准》（安监总管三〔2011〕93号）、《</w:t>
      </w:r>
      <w:r>
        <w:rPr>
          <w:rFonts w:hint="eastAsia" w:ascii="Times New Roman" w:hAnsi="Times New Roman" w:eastAsia="仿宋_GB2312" w:cs="Times New Roman"/>
          <w:color w:val="000000"/>
          <w:sz w:val="32"/>
          <w:szCs w:val="32"/>
          <w:lang w:eastAsia="zh-CN"/>
        </w:rPr>
        <w:t>关于危险化学品从业单位安全生产标准化评审工作有关事项的通知</w:t>
      </w:r>
      <w:r>
        <w:rPr>
          <w:rFonts w:hint="default" w:ascii="Times New Roman" w:hAnsi="Times New Roman" w:eastAsia="仿宋_GB2312" w:cs="Times New Roman"/>
          <w:color w:val="000000"/>
          <w:sz w:val="32"/>
          <w:szCs w:val="32"/>
        </w:rPr>
        <w:t>》（安监总办〔201</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111</w:t>
      </w:r>
      <w:r>
        <w:rPr>
          <w:rFonts w:hint="default" w:ascii="Times New Roman" w:hAnsi="Times New Roman" w:eastAsia="仿宋_GB2312" w:cs="Times New Roman"/>
          <w:color w:val="000000"/>
          <w:sz w:val="32"/>
          <w:szCs w:val="32"/>
        </w:rPr>
        <w:t xml:space="preserve"> 号）和原山东省安监局</w:t>
      </w:r>
      <w:r>
        <w:rPr>
          <w:rFonts w:hint="default" w:ascii="Times New Roman" w:hAnsi="Times New Roman" w:eastAsia="仿宋_GB2312" w:cs="Times New Roman"/>
          <w:color w:val="000000"/>
          <w:sz w:val="32"/>
          <w:szCs w:val="32"/>
          <w:lang w:eastAsia="zh-CN"/>
        </w:rPr>
        <w:t>印发的</w:t>
      </w:r>
      <w:r>
        <w:rPr>
          <w:rFonts w:hint="default" w:ascii="Times New Roman" w:hAnsi="Times New Roman" w:eastAsia="仿宋_GB2312" w:cs="Times New Roman"/>
          <w:color w:val="000000"/>
          <w:sz w:val="32"/>
          <w:szCs w:val="32"/>
        </w:rPr>
        <w:t>《关于认真做好危险化学品企业安全生产标准化达标创建和评审工作的通知》（鲁安监发〔2011〕150号）</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有关规定，</w:t>
      </w:r>
      <w:r>
        <w:rPr>
          <w:rFonts w:hint="default" w:ascii="Times New Roman" w:hAnsi="Times New Roman" w:eastAsia="仿宋_GB2312" w:cs="Times New Roman"/>
          <w:color w:val="000000"/>
          <w:sz w:val="32"/>
          <w:szCs w:val="32"/>
          <w:lang w:eastAsia="zh-CN"/>
        </w:rPr>
        <w:t>经企业自评、申请、评审单位评审和应急部门审核，现核准栖霞市隆鑫加油站等</w:t>
      </w:r>
      <w:r>
        <w:rPr>
          <w:rFonts w:hint="eastAsia" w:ascii="Times New Roman" w:hAnsi="Times New Roman" w:eastAsia="仿宋_GB2312" w:cs="Times New Roman"/>
          <w:color w:val="000000"/>
          <w:sz w:val="32"/>
          <w:szCs w:val="32"/>
          <w:lang w:val="en-US" w:eastAsia="zh-CN"/>
        </w:rPr>
        <w:t>42</w:t>
      </w:r>
      <w:r>
        <w:rPr>
          <w:rFonts w:hint="default" w:ascii="Times New Roman" w:hAnsi="Times New Roman" w:eastAsia="仿宋_GB2312" w:cs="Times New Roman"/>
          <w:color w:val="000000"/>
          <w:sz w:val="32"/>
          <w:szCs w:val="32"/>
          <w:lang w:eastAsia="zh-CN"/>
        </w:rPr>
        <w:t>家企业为危险化学品从业单位安全生产标准化三级企业。有效期自公布之日起3年。   </w:t>
      </w: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eastAsia="zh-CN"/>
        </w:rPr>
        <w:t>烟台市</w:t>
      </w:r>
      <w:r>
        <w:rPr>
          <w:rFonts w:hint="default" w:ascii="Times New Roman" w:hAnsi="Times New Roman" w:eastAsia="仿宋_GB2312" w:cs="Times New Roman"/>
          <w:color w:val="000000"/>
          <w:sz w:val="32"/>
          <w:szCs w:val="32"/>
        </w:rPr>
        <w:t>危险化学品</w:t>
      </w:r>
      <w:r>
        <w:rPr>
          <w:rFonts w:hint="default" w:ascii="Times New Roman" w:hAnsi="Times New Roman" w:eastAsia="仿宋_GB2312" w:cs="Times New Roman"/>
          <w:color w:val="000000"/>
          <w:sz w:val="32"/>
          <w:szCs w:val="32"/>
          <w:lang w:eastAsia="zh-CN"/>
        </w:rPr>
        <w:t>从业单位安全</w:t>
      </w:r>
      <w:r>
        <w:rPr>
          <w:rFonts w:hint="default" w:ascii="Times New Roman" w:hAnsi="Times New Roman" w:eastAsia="仿宋_GB2312" w:cs="Times New Roman"/>
          <w:color w:val="000000"/>
          <w:sz w:val="32"/>
          <w:szCs w:val="32"/>
        </w:rPr>
        <w:t>生产</w:t>
      </w:r>
      <w:bookmarkStart w:id="0" w:name="_GoBack"/>
      <w:bookmarkEnd w:id="0"/>
      <w:r>
        <w:rPr>
          <w:rFonts w:hint="default" w:ascii="Times New Roman" w:hAnsi="Times New Roman" w:eastAsia="仿宋_GB2312" w:cs="Times New Roman"/>
          <w:color w:val="000000"/>
          <w:sz w:val="32"/>
          <w:szCs w:val="32"/>
        </w:rPr>
        <w:t>标准化</w:t>
      </w:r>
      <w:r>
        <w:rPr>
          <w:rFonts w:hint="default" w:ascii="Times New Roman" w:hAnsi="Times New Roman" w:eastAsia="仿宋_GB2312" w:cs="Times New Roman"/>
          <w:color w:val="000000"/>
          <w:sz w:val="32"/>
          <w:szCs w:val="32"/>
          <w:lang w:eastAsia="zh-CN"/>
        </w:rPr>
        <w:t>三级</w:t>
      </w:r>
      <w:r>
        <w:rPr>
          <w:rFonts w:hint="default" w:ascii="Times New Roman" w:hAnsi="Times New Roman" w:eastAsia="仿宋_GB2312" w:cs="Times New Roman"/>
          <w:color w:val="000000"/>
          <w:sz w:val="32"/>
          <w:szCs w:val="32"/>
        </w:rPr>
        <w:t>企业名单</w:t>
      </w:r>
      <w:r>
        <w:rPr>
          <w:rFonts w:hint="default" w:ascii="Times New Roman" w:hAnsi="Times New Roman" w:eastAsia="仿宋_GB2312" w:cs="Times New Roman"/>
          <w:color w:val="000000"/>
          <w:sz w:val="32"/>
          <w:szCs w:val="32"/>
          <w:lang w:eastAsia="zh-CN"/>
        </w:rPr>
        <w:t>（第四十</w:t>
      </w: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lang w:eastAsia="zh-CN"/>
        </w:rPr>
        <w:t>批）</w:t>
      </w: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烟台市</w:t>
      </w:r>
      <w:r>
        <w:rPr>
          <w:rFonts w:hint="default" w:ascii="Times New Roman" w:hAnsi="Times New Roman" w:eastAsia="仿宋_GB2312" w:cs="Times New Roman"/>
          <w:color w:val="000000"/>
          <w:sz w:val="32"/>
          <w:szCs w:val="32"/>
          <w:lang w:eastAsia="zh-CN"/>
        </w:rPr>
        <w:t>应急管理</w:t>
      </w:r>
      <w:r>
        <w:rPr>
          <w:rFonts w:hint="default" w:ascii="Times New Roman" w:hAnsi="Times New Roman" w:eastAsia="仿宋_GB2312" w:cs="Times New Roman"/>
          <w:color w:val="000000"/>
          <w:sz w:val="32"/>
          <w:szCs w:val="32"/>
        </w:rPr>
        <w:t>局</w:t>
      </w:r>
    </w:p>
    <w:p>
      <w:pPr>
        <w:keepNext w:val="0"/>
        <w:keepLines w:val="0"/>
        <w:pageBreakBefore w:val="0"/>
        <w:widowControl w:val="0"/>
        <w:tabs>
          <w:tab w:val="left" w:pos="5040"/>
        </w:tabs>
        <w:kinsoku/>
        <w:wordWrap/>
        <w:overflowPunct/>
        <w:topLinePunct w:val="0"/>
        <w:autoSpaceDE/>
        <w:autoSpaceDN/>
        <w:bidi w:val="0"/>
        <w:adjustRightInd/>
        <w:snapToGrid/>
        <w:spacing w:line="560" w:lineRule="exact"/>
        <w:ind w:left="0" w:leftChars="0" w:right="0" w:rightChars="0" w:firstLine="5440" w:firstLineChars="17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日</w:t>
      </w:r>
    </w:p>
    <w:p>
      <w:pPr>
        <w:spacing w:line="560" w:lineRule="exact"/>
        <w:rPr>
          <w:rFonts w:hint="eastAsia" w:ascii="黑体" w:hAnsi="黑体" w:eastAsia="黑体"/>
          <w:color w:val="000000"/>
          <w:szCs w:val="32"/>
        </w:rPr>
      </w:pPr>
      <w:r>
        <w:rPr>
          <w:rFonts w:eastAsia="方正小标宋简体"/>
          <w:color w:val="FF0000"/>
          <w:sz w:val="18"/>
        </w:rPr>
        <mc:AlternateContent>
          <mc:Choice Requires="wps">
            <w:drawing>
              <wp:anchor distT="0" distB="0" distL="114300" distR="114300" simplePos="0" relativeHeight="251674624" behindDoc="0" locked="0" layoutInCell="1" allowOverlap="1">
                <wp:simplePos x="0" y="0"/>
                <wp:positionH relativeFrom="column">
                  <wp:posOffset>-324485</wp:posOffset>
                </wp:positionH>
                <wp:positionV relativeFrom="paragraph">
                  <wp:posOffset>81280</wp:posOffset>
                </wp:positionV>
                <wp:extent cx="61918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9188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5pt;margin-top:6.4pt;height:0pt;width:487.55pt;z-index:251674624;mso-width-relative:page;mso-height-relative:page;" filled="f" stroked="t" coordsize="21600,21600" o:gfxdata="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12xuzWAAAACQEAAA8AAAAA&#10;AAAAAQAgAAAAIgAAAGRycy9kb3ducmV2LnhtbFBLAQIUABQAAAAIAIdO4kDeB7aM3QEAAJgDAAAO&#10;AAAAAAAAAAEAIAAAACUBAABkcnMvZTJvRG9jLnhtbFBLBQYAAAAABgAGAFkBAAB0BQAAAAA=&#10;">
                <v:fill on="f" focussize="0,0"/>
                <v:stroke color="#FF0000" joinstyle="round"/>
                <v:imagedata o:title=""/>
                <o:lock v:ext="edit" aspectratio="f"/>
              </v:line>
            </w:pict>
          </mc:Fallback>
        </mc:AlternateContent>
      </w:r>
      <w:r>
        <w:rPr>
          <w:rFonts w:eastAsia="方正小标宋简体"/>
          <w:color w:val="FF0000"/>
          <w:sz w:val="20"/>
        </w:rPr>
        <mc:AlternateContent>
          <mc:Choice Requires="wps">
            <w:drawing>
              <wp:anchor distT="0" distB="0" distL="114300" distR="114300" simplePos="0" relativeHeight="251672576" behindDoc="0" locked="0" layoutInCell="1" allowOverlap="1">
                <wp:simplePos x="0" y="0"/>
                <wp:positionH relativeFrom="column">
                  <wp:posOffset>-311150</wp:posOffset>
                </wp:positionH>
                <wp:positionV relativeFrom="paragraph">
                  <wp:posOffset>166370</wp:posOffset>
                </wp:positionV>
                <wp:extent cx="619188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9188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5pt;margin-top:13.1pt;height:0pt;width:487.55pt;z-index:251672576;mso-width-relative:page;mso-height-relative:page;" filled="f" stroked="t" coordsize="21600,21600" o:gfxdata="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o2R5rXAAAACQEAAA8A&#10;AAAAAAAAAQAgAAAAIgAAAGRycy9kb3ducmV2LnhtbFBLAQIUABQAAAAIAIdO4kB3r4Zz3wEAAJkD&#10;AAAOAAAAAAAAAAEAIAAAACYBAABkcnMvZTJvRG9jLnhtbFBLBQYAAAAABgAGAFkBAAB3BQAAAAA=&#10;">
                <v:fill on="f" focussize="0,0"/>
                <v:stroke weight="2pt" color="#FF0000" joinstyle="round"/>
                <v:imagedata o:title=""/>
                <o:lock v:ext="edit" aspectratio="f"/>
              </v:line>
            </w:pict>
          </mc:Fallback>
        </mc:AlternateContent>
      </w:r>
      <w:r>
        <w:rPr>
          <w:rFonts w:ascii="仿宋_GB2312" w:hAnsi="华文中宋"/>
          <w:color w:val="000000"/>
          <w:szCs w:val="32"/>
        </w:rPr>
        <w:br w:type="page"/>
      </w:r>
      <w:r>
        <w:rPr>
          <w:rFonts w:hint="eastAsia" w:ascii="黑体" w:hAnsi="黑体" w:eastAsia="黑体" w:cs="Times New Roman"/>
          <w:color w:val="000000"/>
          <w:sz w:val="32"/>
          <w:szCs w:val="32"/>
        </w:rPr>
        <w:t>附件</w:t>
      </w:r>
    </w:p>
    <w:p>
      <w:pPr>
        <w:spacing w:line="560" w:lineRule="exact"/>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eastAsia="zh-CN"/>
        </w:rPr>
        <w:t>烟台市</w:t>
      </w:r>
      <w:r>
        <w:rPr>
          <w:rFonts w:hint="eastAsia" w:ascii="方正小标宋简体" w:hAnsi="华文中宋" w:eastAsia="方正小标宋简体"/>
          <w:color w:val="000000"/>
          <w:sz w:val="44"/>
          <w:szCs w:val="44"/>
        </w:rPr>
        <w:t>危险化学品</w:t>
      </w:r>
      <w:r>
        <w:rPr>
          <w:rFonts w:hint="eastAsia" w:ascii="方正小标宋简体" w:hAnsi="华文中宋" w:eastAsia="方正小标宋简体"/>
          <w:color w:val="000000"/>
          <w:sz w:val="44"/>
          <w:szCs w:val="44"/>
          <w:lang w:eastAsia="zh-CN"/>
        </w:rPr>
        <w:t>从业单位</w:t>
      </w:r>
      <w:r>
        <w:rPr>
          <w:rFonts w:hint="eastAsia" w:ascii="方正小标宋简体" w:hAnsi="华文中宋" w:eastAsia="方正小标宋简体"/>
          <w:color w:val="000000"/>
          <w:sz w:val="44"/>
          <w:szCs w:val="44"/>
        </w:rPr>
        <w:t>安全生产标准化</w:t>
      </w:r>
    </w:p>
    <w:p>
      <w:pPr>
        <w:spacing w:line="560" w:lineRule="exact"/>
        <w:jc w:val="center"/>
        <w:rPr>
          <w:rFonts w:hint="eastAsia" w:ascii="黑体" w:hAnsi="黑体" w:eastAsia="黑体"/>
          <w:color w:val="000000"/>
          <w:sz w:val="44"/>
          <w:szCs w:val="44"/>
        </w:rPr>
      </w:pPr>
      <w:r>
        <w:rPr>
          <w:rFonts w:hint="eastAsia" w:ascii="方正小标宋简体" w:hAnsi="华文中宋" w:eastAsia="方正小标宋简体"/>
          <w:color w:val="000000"/>
          <w:sz w:val="44"/>
          <w:szCs w:val="44"/>
        </w:rPr>
        <w:t>三级企业名单（第</w:t>
      </w:r>
      <w:r>
        <w:rPr>
          <w:rFonts w:hint="eastAsia" w:ascii="方正小标宋简体" w:hAnsi="华文中宋" w:eastAsia="方正小标宋简体"/>
          <w:color w:val="000000"/>
          <w:sz w:val="44"/>
          <w:szCs w:val="44"/>
          <w:lang w:eastAsia="zh-CN"/>
        </w:rPr>
        <w:t>四十五</w:t>
      </w:r>
      <w:r>
        <w:rPr>
          <w:rFonts w:hint="eastAsia" w:ascii="方正小标宋简体" w:hAnsi="华文中宋" w:eastAsia="方正小标宋简体"/>
          <w:color w:val="000000"/>
          <w:sz w:val="44"/>
          <w:szCs w:val="44"/>
        </w:rPr>
        <w:t>批）</w:t>
      </w:r>
    </w:p>
    <w:tbl>
      <w:tblPr>
        <w:tblStyle w:val="10"/>
        <w:tblW w:w="8944" w:type="dxa"/>
        <w:tblInd w:w="102" w:type="dxa"/>
        <w:tblLayout w:type="fixed"/>
        <w:tblCellMar>
          <w:top w:w="0" w:type="dxa"/>
          <w:left w:w="108" w:type="dxa"/>
          <w:bottom w:w="0" w:type="dxa"/>
          <w:right w:w="108" w:type="dxa"/>
        </w:tblCellMar>
      </w:tblPr>
      <w:tblGrid>
        <w:gridCol w:w="861"/>
        <w:gridCol w:w="1300"/>
        <w:gridCol w:w="5176"/>
        <w:gridCol w:w="1607"/>
      </w:tblGrid>
      <w:tr>
        <w:tblPrEx>
          <w:tblLayout w:type="fixed"/>
          <w:tblCellMar>
            <w:top w:w="0" w:type="dxa"/>
            <w:left w:w="108" w:type="dxa"/>
            <w:bottom w:w="0" w:type="dxa"/>
            <w:right w:w="108" w:type="dxa"/>
          </w:tblCellMar>
        </w:tblPrEx>
        <w:trPr>
          <w:trHeight w:val="530" w:hRule="atLeast"/>
        </w:trPr>
        <w:tc>
          <w:tcPr>
            <w:tcW w:w="861" w:type="dxa"/>
            <w:tcBorders>
              <w:top w:val="single" w:color="auto" w:sz="4" w:space="0"/>
              <w:left w:val="single" w:color="auto" w:sz="4" w:space="0"/>
              <w:bottom w:val="single" w:color="auto" w:sz="4" w:space="0"/>
              <w:right w:val="single" w:color="auto" w:sz="4" w:space="0"/>
            </w:tcBorders>
            <w:vAlign w:val="bottom"/>
          </w:tcPr>
          <w:p>
            <w:pPr>
              <w:widowControl/>
              <w:spacing w:line="560" w:lineRule="exact"/>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序号</w:t>
            </w:r>
          </w:p>
        </w:tc>
        <w:tc>
          <w:tcPr>
            <w:tcW w:w="1300" w:type="dxa"/>
            <w:tcBorders>
              <w:top w:val="single" w:color="auto" w:sz="4" w:space="0"/>
              <w:left w:val="nil"/>
              <w:bottom w:val="single" w:color="auto" w:sz="4" w:space="0"/>
              <w:right w:val="single" w:color="auto" w:sz="4" w:space="0"/>
            </w:tcBorders>
            <w:vAlign w:val="bottom"/>
          </w:tcPr>
          <w:p>
            <w:pPr>
              <w:widowControl/>
              <w:spacing w:line="560" w:lineRule="exact"/>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县市区</w:t>
            </w:r>
          </w:p>
        </w:tc>
        <w:tc>
          <w:tcPr>
            <w:tcW w:w="5176" w:type="dxa"/>
            <w:tcBorders>
              <w:top w:val="single" w:color="auto" w:sz="4" w:space="0"/>
              <w:left w:val="nil"/>
              <w:bottom w:val="single" w:color="auto" w:sz="4" w:space="0"/>
              <w:right w:val="single" w:color="auto" w:sz="4" w:space="0"/>
            </w:tcBorders>
            <w:vAlign w:val="bottom"/>
          </w:tcPr>
          <w:p>
            <w:pPr>
              <w:widowControl/>
              <w:spacing w:line="560" w:lineRule="exact"/>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企业名称</w:t>
            </w:r>
          </w:p>
        </w:tc>
        <w:tc>
          <w:tcPr>
            <w:tcW w:w="1607" w:type="dxa"/>
            <w:tcBorders>
              <w:top w:val="single" w:color="auto" w:sz="4" w:space="0"/>
              <w:left w:val="nil"/>
              <w:bottom w:val="single" w:color="auto" w:sz="4" w:space="0"/>
              <w:right w:val="single" w:color="auto" w:sz="4" w:space="0"/>
            </w:tcBorders>
            <w:vAlign w:val="bottom"/>
          </w:tcPr>
          <w:p>
            <w:pPr>
              <w:widowControl/>
              <w:spacing w:line="560" w:lineRule="exact"/>
              <w:jc w:val="center"/>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备注</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lang w:val="en-US" w:eastAsia="zh-CN"/>
              </w:rPr>
              <w:t>1</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栖霞市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栖霞市隆鑫加油站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lang w:val="en-US" w:eastAsia="zh-CN"/>
              </w:rPr>
              <w:t>2</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芝罘区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烟台市中恒油品经营有限公司分公司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初审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lang w:val="en-US" w:eastAsia="zh-CN"/>
              </w:rPr>
              <w:t>3</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芝罘区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烟台中油石油储运销售有限公司第十七加油站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lang w:val="en-US" w:eastAsia="zh-CN"/>
              </w:rPr>
              <w:t>4</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芝罘区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烟台富隆石油有限公司第三加油站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lang w:val="en-US" w:eastAsia="zh-CN"/>
              </w:rPr>
              <w:t>5</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芝罘区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烟台开瑞成品油销售有限公司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lang w:val="en-US" w:eastAsia="zh-CN"/>
              </w:rPr>
              <w:t>6</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芝罘区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烟台市机关加油站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sz w:val="24"/>
                <w:lang w:val="en-US" w:eastAsia="zh-CN"/>
              </w:rPr>
              <w:t>7</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招远市齐山镇下林庄加油站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初审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sz w:val="24"/>
                <w:lang w:val="en-US" w:eastAsia="zh-CN"/>
              </w:rPr>
              <w:t>8</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招远市丰源加油站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kern w:val="0"/>
                <w:sz w:val="24"/>
                <w:lang w:val="en-US" w:eastAsia="zh-CN"/>
              </w:rPr>
              <w:t>9</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烟台庆林石化销售有限责任公司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初审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kern w:val="0"/>
                <w:sz w:val="24"/>
                <w:lang w:val="en-US" w:eastAsia="zh-CN"/>
              </w:rPr>
              <w:t>10</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招远市夏甸加油站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kern w:val="0"/>
                <w:sz w:val="24"/>
                <w:lang w:val="en-US" w:eastAsia="zh-CN"/>
              </w:rPr>
              <w:t>1</w:t>
            </w:r>
            <w:r>
              <w:rPr>
                <w:rFonts w:hint="eastAsia" w:ascii="Times New Roman" w:hAnsi="Times New Roman" w:eastAsia="仿宋_GB2312" w:cs="Times New Roman"/>
                <w:kern w:val="0"/>
                <w:sz w:val="24"/>
                <w:lang w:val="en-US" w:eastAsia="zh-CN"/>
              </w:rPr>
              <w:t>1</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招远市金泉石油有限公司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kern w:val="0"/>
                <w:sz w:val="24"/>
                <w:lang w:val="en-US" w:eastAsia="zh-CN"/>
              </w:rPr>
              <w:t>1</w:t>
            </w:r>
            <w:r>
              <w:rPr>
                <w:rFonts w:hint="eastAsia" w:ascii="Times New Roman" w:hAnsi="Times New Roman" w:eastAsia="仿宋_GB2312" w:cs="Times New Roman"/>
                <w:kern w:val="0"/>
                <w:sz w:val="24"/>
                <w:lang w:val="en-US" w:eastAsia="zh-CN"/>
              </w:rPr>
              <w:t>2</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海阳市金元石油有限公司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13</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海阳市航海加油站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14</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海阳市长安加油站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15</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海阳市海顺加油站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16</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海阳市毓琦石油有限公司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17</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海阳市泉超加油站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kern w:val="0"/>
                <w:sz w:val="24"/>
                <w:lang w:val="en-US" w:eastAsia="zh-CN"/>
              </w:rPr>
              <w:t>18</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海阳市胜利加油站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0"/>
                <w:sz w:val="24"/>
                <w:lang w:val="en-US" w:eastAsia="zh-CN"/>
              </w:rPr>
            </w:pPr>
            <w:r>
              <w:rPr>
                <w:rFonts w:hint="default" w:ascii="Times New Roman" w:hAnsi="Times New Roman" w:eastAsia="宋体" w:cs="Times New Roman"/>
                <w:i w:val="0"/>
                <w:color w:val="000000"/>
                <w:kern w:val="0"/>
                <w:sz w:val="22"/>
                <w:szCs w:val="22"/>
                <w:u w:val="none"/>
                <w:lang w:val="en-US" w:eastAsia="zh-CN" w:bidi="ar"/>
              </w:rPr>
              <w:t>19</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海阳市发城镇榆山加油站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0"/>
                <w:sz w:val="24"/>
                <w:lang w:val="en-US" w:eastAsia="zh-CN"/>
              </w:rPr>
            </w:pPr>
            <w:r>
              <w:rPr>
                <w:rFonts w:hint="default" w:ascii="Times New Roman" w:hAnsi="Times New Roman" w:eastAsia="宋体" w:cs="Times New Roman"/>
                <w:i w:val="0"/>
                <w:color w:val="000000"/>
                <w:kern w:val="0"/>
                <w:sz w:val="22"/>
                <w:szCs w:val="22"/>
                <w:u w:val="none"/>
                <w:lang w:val="en-US" w:eastAsia="zh-CN" w:bidi="ar"/>
              </w:rPr>
              <w:t>20</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海阳宏伟加油站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21</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海阳市东海渔港石油有限公司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454" w:hRule="exac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22</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海阳市华星加油站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23</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海阳市光忠加油站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24</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海阳市鑫海石油有限公司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海阳市发城昌发加油站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26</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海阳市发城加油站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27</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海阳市发城镇埠后加油站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中化石油山东有限公司海阳市东凤路加油站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29</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中化石油山东有限公司海阳第二加油站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海阳市滨海加油站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海阳市海城石化有限公司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32</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海阳市鑫泰石油有限公司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33</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牟平区</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烟台市牟平区东明化工有限公司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34</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烟台交运金都运输有限公司加油站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初审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35</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招远市宏信化工有限公司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36</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栖霞市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栖霞澳通化工有限公司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37</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莱阳市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莱阳亚力美涂料有限责任公司</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复审</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auto"/>
                <w:kern w:val="0"/>
                <w:sz w:val="22"/>
                <w:szCs w:val="22"/>
                <w:u w:val="none"/>
                <w:lang w:val="en-US" w:eastAsia="zh-CN" w:bidi="ar"/>
              </w:rPr>
              <w:t>38</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蓬莱市彩虹机场服务有限公司王庄加油站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复评</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auto"/>
                <w:kern w:val="0"/>
                <w:sz w:val="22"/>
                <w:szCs w:val="22"/>
                <w:u w:val="none"/>
                <w:lang w:val="en-US" w:eastAsia="zh-CN" w:bidi="ar"/>
              </w:rPr>
              <w:t>39</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山东蔚阳集团有限公司加油站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复评</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auto"/>
                <w:kern w:val="0"/>
                <w:sz w:val="22"/>
                <w:szCs w:val="22"/>
                <w:u w:val="none"/>
                <w:lang w:val="en-US" w:eastAsia="zh-CN" w:bidi="ar"/>
              </w:rPr>
              <w:t>40</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蓬莱市北沟镇红山加油站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复评</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auto"/>
                <w:kern w:val="0"/>
                <w:sz w:val="22"/>
                <w:szCs w:val="22"/>
                <w:u w:val="none"/>
                <w:lang w:val="en-US" w:eastAsia="zh-CN" w:bidi="ar"/>
              </w:rPr>
              <w:t>41</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蓬莱市浩源加油站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复评</w:t>
            </w:r>
          </w:p>
        </w:tc>
      </w:tr>
      <w:tr>
        <w:tblPrEx>
          <w:tblLayout w:type="fixed"/>
          <w:tblCellMar>
            <w:top w:w="0" w:type="dxa"/>
            <w:left w:w="108" w:type="dxa"/>
            <w:bottom w:w="0" w:type="dxa"/>
            <w:right w:w="108" w:type="dxa"/>
          </w:tblCellMar>
        </w:tblPrEx>
        <w:trPr>
          <w:trHeight w:val="554" w:hRule="atLeast"/>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auto"/>
                <w:kern w:val="0"/>
                <w:sz w:val="22"/>
                <w:szCs w:val="22"/>
                <w:u w:val="none"/>
                <w:lang w:val="en-US" w:eastAsia="zh-CN" w:bidi="ar"/>
              </w:rPr>
              <w:t>42</w:t>
            </w:r>
          </w:p>
        </w:tc>
        <w:tc>
          <w:tcPr>
            <w:tcW w:w="13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蓬莱市</w:t>
            </w:r>
          </w:p>
        </w:tc>
        <w:tc>
          <w:tcPr>
            <w:tcW w:w="5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中化石油山东有限公司蓬莱市广州路加油站</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初审</w:t>
            </w:r>
          </w:p>
        </w:tc>
      </w:tr>
    </w:tbl>
    <w:p>
      <w:pPr>
        <w:rPr>
          <w:rFonts w:hint="eastAsia" w:ascii="仿宋_GB2312" w:hAnsi="仿宋" w:eastAsia="仿宋_GB2312"/>
          <w:sz w:val="28"/>
          <w:szCs w:val="28"/>
        </w:rPr>
      </w:pPr>
    </w:p>
    <w:sectPr>
      <w:footerReference r:id="rId3" w:type="default"/>
      <w:pgSz w:w="11906" w:h="16838"/>
      <w:pgMar w:top="2098" w:right="1474" w:bottom="1984" w:left="1587" w:header="851" w:footer="992" w:gutter="0"/>
      <w:cols w:space="0" w:num="1"/>
      <w:rtlGutter w:val="0"/>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金山简标宋">
    <w:altName w:val="宋体"/>
    <w:panose1 w:val="0201060900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18"/>
                              <w:lang w:eastAsia="zh-CN"/>
                            </w:rPr>
                          </w:pPr>
                          <w:r>
                            <w:rPr>
                              <w:rFonts w:hint="eastAsia" w:ascii="仿宋_GB2312" w:hAnsi="仿宋_GB2312" w:eastAsia="仿宋_GB2312" w:cs="仿宋_GB2312"/>
                              <w:sz w:val="18"/>
                              <w:lang w:eastAsia="zh-CN"/>
                            </w:rPr>
                            <w:fldChar w:fldCharType="begin"/>
                          </w:r>
                          <w:r>
                            <w:rPr>
                              <w:rFonts w:hint="eastAsia" w:ascii="仿宋_GB2312" w:hAnsi="仿宋_GB2312" w:eastAsia="仿宋_GB2312" w:cs="仿宋_GB2312"/>
                              <w:sz w:val="18"/>
                              <w:lang w:eastAsia="zh-CN"/>
                            </w:rPr>
                            <w:instrText xml:space="preserve"> PAGE  \* MERGEFORMAT </w:instrText>
                          </w:r>
                          <w:r>
                            <w:rPr>
                              <w:rFonts w:hint="eastAsia" w:ascii="仿宋_GB2312" w:hAnsi="仿宋_GB2312" w:eastAsia="仿宋_GB2312" w:cs="仿宋_GB2312"/>
                              <w:sz w:val="18"/>
                              <w:lang w:eastAsia="zh-CN"/>
                            </w:rPr>
                            <w:fldChar w:fldCharType="separate"/>
                          </w:r>
                          <w:r>
                            <w:rPr>
                              <w:rFonts w:hint="eastAsia" w:ascii="仿宋_GB2312" w:hAnsi="仿宋_GB2312" w:eastAsia="仿宋_GB2312" w:cs="仿宋_GB2312"/>
                              <w:sz w:val="18"/>
                              <w:lang w:eastAsia="zh-CN"/>
                            </w:rPr>
                            <w:t>1</w:t>
                          </w:r>
                          <w:r>
                            <w:rPr>
                              <w:rFonts w:hint="eastAsia" w:ascii="仿宋_GB2312" w:hAnsi="仿宋_GB2312" w:eastAsia="仿宋_GB2312" w:cs="仿宋_GB2312"/>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18"/>
                        <w:lang w:eastAsia="zh-CN"/>
                      </w:rPr>
                    </w:pPr>
                    <w:r>
                      <w:rPr>
                        <w:rFonts w:hint="eastAsia" w:ascii="仿宋_GB2312" w:hAnsi="仿宋_GB2312" w:eastAsia="仿宋_GB2312" w:cs="仿宋_GB2312"/>
                        <w:sz w:val="18"/>
                        <w:lang w:eastAsia="zh-CN"/>
                      </w:rPr>
                      <w:fldChar w:fldCharType="begin"/>
                    </w:r>
                    <w:r>
                      <w:rPr>
                        <w:rFonts w:hint="eastAsia" w:ascii="仿宋_GB2312" w:hAnsi="仿宋_GB2312" w:eastAsia="仿宋_GB2312" w:cs="仿宋_GB2312"/>
                        <w:sz w:val="18"/>
                        <w:lang w:eastAsia="zh-CN"/>
                      </w:rPr>
                      <w:instrText xml:space="preserve"> PAGE  \* MERGEFORMAT </w:instrText>
                    </w:r>
                    <w:r>
                      <w:rPr>
                        <w:rFonts w:hint="eastAsia" w:ascii="仿宋_GB2312" w:hAnsi="仿宋_GB2312" w:eastAsia="仿宋_GB2312" w:cs="仿宋_GB2312"/>
                        <w:sz w:val="18"/>
                        <w:lang w:eastAsia="zh-CN"/>
                      </w:rPr>
                      <w:fldChar w:fldCharType="separate"/>
                    </w:r>
                    <w:r>
                      <w:rPr>
                        <w:rFonts w:hint="eastAsia" w:ascii="仿宋_GB2312" w:hAnsi="仿宋_GB2312" w:eastAsia="仿宋_GB2312" w:cs="仿宋_GB2312"/>
                        <w:sz w:val="18"/>
                        <w:lang w:eastAsia="zh-CN"/>
                      </w:rPr>
                      <w:t>1</w:t>
                    </w:r>
                    <w:r>
                      <w:rPr>
                        <w:rFonts w:hint="eastAsia" w:ascii="仿宋_GB2312" w:hAnsi="仿宋_GB2312" w:eastAsia="仿宋_GB2312" w:cs="仿宋_GB2312"/>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2"/>
    <w:rsid w:val="005A4292"/>
    <w:rsid w:val="007E0485"/>
    <w:rsid w:val="00B63695"/>
    <w:rsid w:val="00E50D05"/>
    <w:rsid w:val="00F32CC6"/>
    <w:rsid w:val="00F604BC"/>
    <w:rsid w:val="00F710EF"/>
    <w:rsid w:val="033F546A"/>
    <w:rsid w:val="0812277A"/>
    <w:rsid w:val="0D130218"/>
    <w:rsid w:val="0F827A9E"/>
    <w:rsid w:val="10F069AA"/>
    <w:rsid w:val="1DB02982"/>
    <w:rsid w:val="1FBC2E71"/>
    <w:rsid w:val="22A32459"/>
    <w:rsid w:val="262A09F0"/>
    <w:rsid w:val="26872778"/>
    <w:rsid w:val="27900824"/>
    <w:rsid w:val="29987352"/>
    <w:rsid w:val="2B3E57B4"/>
    <w:rsid w:val="30931972"/>
    <w:rsid w:val="32DB47F5"/>
    <w:rsid w:val="34495CDE"/>
    <w:rsid w:val="348736E6"/>
    <w:rsid w:val="348C1DC0"/>
    <w:rsid w:val="3696352D"/>
    <w:rsid w:val="3783008C"/>
    <w:rsid w:val="38FB38F8"/>
    <w:rsid w:val="3CD36990"/>
    <w:rsid w:val="3D0657A4"/>
    <w:rsid w:val="3ED14E15"/>
    <w:rsid w:val="3F994BF3"/>
    <w:rsid w:val="41DC0512"/>
    <w:rsid w:val="42823168"/>
    <w:rsid w:val="44F44DDA"/>
    <w:rsid w:val="497832AD"/>
    <w:rsid w:val="4B946644"/>
    <w:rsid w:val="4D392B61"/>
    <w:rsid w:val="4D570B4C"/>
    <w:rsid w:val="4D5C2BB1"/>
    <w:rsid w:val="51CD2DB5"/>
    <w:rsid w:val="546F32A6"/>
    <w:rsid w:val="59B12454"/>
    <w:rsid w:val="5D091C2D"/>
    <w:rsid w:val="5DDE25A3"/>
    <w:rsid w:val="603E1730"/>
    <w:rsid w:val="60C115A9"/>
    <w:rsid w:val="62674D4A"/>
    <w:rsid w:val="64545934"/>
    <w:rsid w:val="65B20F3D"/>
    <w:rsid w:val="68682FB7"/>
    <w:rsid w:val="6E0F44B8"/>
    <w:rsid w:val="6FDF3D6C"/>
    <w:rsid w:val="722E2F8D"/>
    <w:rsid w:val="73DC42D2"/>
    <w:rsid w:val="740A0C30"/>
    <w:rsid w:val="746C5D6F"/>
    <w:rsid w:val="74AD69A6"/>
    <w:rsid w:val="75130889"/>
    <w:rsid w:val="780E2AF8"/>
    <w:rsid w:val="79436D88"/>
    <w:rsid w:val="7F532954"/>
    <w:rsid w:val="7FB0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page number"/>
    <w:basedOn w:val="6"/>
    <w:qFormat/>
    <w:uiPriority w:val="0"/>
  </w:style>
  <w:style w:type="character" w:styleId="9">
    <w:name w:val="Hyperlink"/>
    <w:basedOn w:val="6"/>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font20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438</Words>
  <Characters>2501</Characters>
  <Lines>20</Lines>
  <Paragraphs>5</Paragraphs>
  <ScaleCrop>false</ScaleCrop>
  <LinksUpToDate>false</LinksUpToDate>
  <CharactersWithSpaces>2934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2019-01-28T07:31:00Z</dcterms:created>
  <dc:creator>Administrator</dc:creator>
  <cp:lastModifiedBy>lenovo</cp:lastModifiedBy>
  <cp:lastPrinted>2019-09-27T02:41:00Z</cp:lastPrinted>
  <dcterms:modified xsi:type="dcterms:W3CDTF">2019-11-29T01:41:34Z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